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0"/>
          <w:vertAlign w:val="baseline"/>
        </w:rPr>
      </w:pPr>
      <w:r w:rsidDel="00000000" w:rsidR="00000000" w:rsidRPr="00000000">
        <w:rPr>
          <w:b w:val="1"/>
          <w:vertAlign w:val="baseline"/>
          <w:rtl w:val="0"/>
        </w:rPr>
        <w:tab/>
        <w:tab/>
        <w:tab/>
        <w:tab/>
        <w:t xml:space="preserve">BRIEF SAMPLE/ RUBRIC</w:t>
      </w:r>
      <w:r w:rsidDel="00000000" w:rsidR="00000000" w:rsidRPr="00000000">
        <w:rPr>
          <w:rtl w:val="0"/>
        </w:rPr>
      </w:r>
    </w:p>
    <w:p w:rsidR="00000000" w:rsidDel="00000000" w:rsidP="00000000" w:rsidRDefault="00000000" w:rsidRPr="00000000" w14:paraId="00000002">
      <w:pPr>
        <w:rPr>
          <w:b w:val="0"/>
          <w:vertAlign w:val="baseline"/>
        </w:rPr>
      </w:pPr>
      <w:r w:rsidDel="00000000" w:rsidR="00000000" w:rsidRPr="00000000">
        <w:rPr>
          <w:rtl w:val="0"/>
        </w:rPr>
      </w:r>
    </w:p>
    <w:p w:rsidR="00000000" w:rsidDel="00000000" w:rsidP="00000000" w:rsidRDefault="00000000" w:rsidRPr="00000000" w14:paraId="00000003">
      <w:pPr>
        <w:rPr>
          <w:b w:val="0"/>
          <w:vertAlign w:val="baseline"/>
        </w:rPr>
      </w:pPr>
      <w:r w:rsidDel="00000000" w:rsidR="00000000" w:rsidRPr="00000000">
        <w:rPr>
          <w:b w:val="1"/>
          <w:vertAlign w:val="baseline"/>
          <w:rtl w:val="0"/>
        </w:rPr>
        <w:t xml:space="preserve">Citation</w:t>
      </w:r>
      <w:r w:rsidDel="00000000" w:rsidR="00000000" w:rsidRPr="00000000">
        <w:rPr>
          <w:vertAlign w:val="baseline"/>
          <w:rtl w:val="0"/>
        </w:rPr>
        <w:t xml:space="preserve"> includes the following: the name of the case, the date it was decided, and the  court that decided it.   </w:t>
      </w:r>
      <w:r w:rsidDel="00000000" w:rsidR="00000000" w:rsidRPr="00000000">
        <w:rPr>
          <w:b w:val="1"/>
          <w:vertAlign w:val="baseline"/>
          <w:rtl w:val="0"/>
        </w:rPr>
        <w:t xml:space="preserve">(WORTH 1 POINT)</w:t>
      </w:r>
      <w:r w:rsidDel="00000000" w:rsidR="00000000" w:rsidRPr="00000000">
        <w:rPr>
          <w:rtl w:val="0"/>
        </w:rPr>
      </w:r>
    </w:p>
    <w:p w:rsidR="00000000" w:rsidDel="00000000" w:rsidP="00000000" w:rsidRDefault="00000000" w:rsidRPr="00000000" w14:paraId="00000004">
      <w:pPr>
        <w:rPr>
          <w:b w:val="0"/>
          <w:vertAlign w:val="baseline"/>
        </w:rPr>
      </w:pPr>
      <w:r w:rsidDel="00000000" w:rsidR="00000000" w:rsidRPr="00000000">
        <w:rPr>
          <w:rtl w:val="0"/>
        </w:rPr>
      </w:r>
    </w:p>
    <w:p w:rsidR="00000000" w:rsidDel="00000000" w:rsidP="00000000" w:rsidRDefault="00000000" w:rsidRPr="00000000" w14:paraId="00000005">
      <w:pPr>
        <w:rPr>
          <w:b w:val="0"/>
          <w:vertAlign w:val="baseline"/>
        </w:rPr>
      </w:pPr>
      <w:r w:rsidDel="00000000" w:rsidR="00000000" w:rsidRPr="00000000">
        <w:rPr>
          <w:b w:val="1"/>
          <w:vertAlign w:val="baseline"/>
          <w:rtl w:val="0"/>
        </w:rPr>
        <w:t xml:space="preserve">EXAMPLE: </w:t>
      </w:r>
      <w:r w:rsidDel="00000000" w:rsidR="00000000" w:rsidRPr="00000000">
        <w:rPr>
          <w:rtl w:val="0"/>
        </w:rPr>
      </w:r>
    </w:p>
    <w:p w:rsidR="00000000" w:rsidDel="00000000" w:rsidP="00000000" w:rsidRDefault="00000000" w:rsidRPr="00000000" w14:paraId="00000006">
      <w:pPr>
        <w:rPr>
          <w:b w:val="0"/>
          <w:vertAlign w:val="baseline"/>
        </w:rPr>
      </w:pPr>
      <w:r w:rsidDel="00000000" w:rsidR="00000000" w:rsidRPr="00000000">
        <w:rPr>
          <w:rtl w:val="0"/>
        </w:rPr>
      </w:r>
    </w:p>
    <w:p w:rsidR="00000000" w:rsidDel="00000000" w:rsidP="00000000" w:rsidRDefault="00000000" w:rsidRPr="00000000" w14:paraId="00000007">
      <w:pPr>
        <w:rPr>
          <w:b w:val="0"/>
          <w:vertAlign w:val="baseline"/>
        </w:rPr>
      </w:pPr>
      <w:r w:rsidDel="00000000" w:rsidR="00000000" w:rsidRPr="00000000">
        <w:rPr>
          <w:vertAlign w:val="baseline"/>
          <w:rtl w:val="0"/>
        </w:rPr>
        <w:t xml:space="preserve">Fernandez v. California </w:t>
      </w:r>
      <w:r w:rsidDel="00000000" w:rsidR="00000000" w:rsidRPr="00000000">
        <w:rPr>
          <w:b w:val="1"/>
          <w:vertAlign w:val="baseline"/>
          <w:rtl w:val="0"/>
        </w:rPr>
        <w:t xml:space="preserve">(CASE NAME)</w:t>
      </w:r>
      <w:r w:rsidDel="00000000" w:rsidR="00000000" w:rsidRPr="00000000">
        <w:rPr>
          <w:rtl w:val="0"/>
        </w:rPr>
      </w:r>
    </w:p>
    <w:p w:rsidR="00000000" w:rsidDel="00000000" w:rsidP="00000000" w:rsidRDefault="00000000" w:rsidRPr="00000000" w14:paraId="00000008">
      <w:pPr>
        <w:rPr>
          <w:b w:val="0"/>
          <w:vertAlign w:val="baseline"/>
        </w:rPr>
      </w:pPr>
      <w:r w:rsidDel="00000000" w:rsidR="00000000" w:rsidRPr="00000000">
        <w:rPr>
          <w:vertAlign w:val="baseline"/>
          <w:rtl w:val="0"/>
        </w:rPr>
        <w:t xml:space="preserve">United States Supreme Court </w:t>
      </w:r>
      <w:r w:rsidDel="00000000" w:rsidR="00000000" w:rsidRPr="00000000">
        <w:rPr>
          <w:b w:val="1"/>
          <w:vertAlign w:val="baseline"/>
          <w:rtl w:val="0"/>
        </w:rPr>
        <w:t xml:space="preserve">(THE COURT WHICH HEARD THE CASE)</w:t>
      </w:r>
      <w:r w:rsidDel="00000000" w:rsidR="00000000" w:rsidRPr="00000000">
        <w:rPr>
          <w:rtl w:val="0"/>
        </w:rPr>
      </w:r>
    </w:p>
    <w:p w:rsidR="00000000" w:rsidDel="00000000" w:rsidP="00000000" w:rsidRDefault="00000000" w:rsidRPr="00000000" w14:paraId="00000009">
      <w:pPr>
        <w:rPr>
          <w:b w:val="0"/>
          <w:vertAlign w:val="baseline"/>
        </w:rPr>
      </w:pPr>
      <w:r w:rsidDel="00000000" w:rsidR="00000000" w:rsidRPr="00000000">
        <w:rPr>
          <w:vertAlign w:val="baseline"/>
          <w:rtl w:val="0"/>
        </w:rPr>
        <w:t xml:space="preserve">February 25, 2014 </w:t>
      </w:r>
      <w:r w:rsidDel="00000000" w:rsidR="00000000" w:rsidRPr="00000000">
        <w:rPr>
          <w:b w:val="1"/>
          <w:vertAlign w:val="baseline"/>
          <w:rtl w:val="0"/>
        </w:rPr>
        <w:t xml:space="preserve">(THE YEAR OF THE COURT’S DECISION)</w:t>
      </w:r>
      <w:r w:rsidDel="00000000" w:rsidR="00000000" w:rsidRPr="00000000">
        <w:rPr>
          <w:rtl w:val="0"/>
        </w:rPr>
      </w:r>
    </w:p>
    <w:p w:rsidR="00000000" w:rsidDel="00000000" w:rsidP="00000000" w:rsidRDefault="00000000" w:rsidRPr="00000000" w14:paraId="0000000A">
      <w:pPr>
        <w:rPr>
          <w:b w:val="0"/>
          <w:vertAlign w:val="baseline"/>
        </w:rPr>
      </w:pPr>
      <w:r w:rsidDel="00000000" w:rsidR="00000000" w:rsidRPr="00000000">
        <w:rPr>
          <w:vertAlign w:val="baseline"/>
          <w:rtl w:val="0"/>
        </w:rPr>
        <w:t xml:space="preserve">U.S._________, </w:t>
      </w:r>
      <w:r w:rsidDel="00000000" w:rsidR="00000000" w:rsidRPr="00000000">
        <w:rPr>
          <w:b w:val="1"/>
          <w:vertAlign w:val="baseline"/>
          <w:rtl w:val="0"/>
        </w:rPr>
        <w:t xml:space="preserve">(THE REPORTER, THE BLANK INDICATES PAGE NUMBER TO BE FILLED IN WHEN THEY BECOME AVAILABLE)</w:t>
        <w:br w:type="textWrapping"/>
      </w:r>
      <w:r w:rsidDel="00000000" w:rsidR="00000000" w:rsidRPr="00000000">
        <w:rPr>
          <w:vertAlign w:val="baseline"/>
          <w:rtl w:val="0"/>
        </w:rPr>
        <w:t xml:space="preserve">571;</w:t>
      </w:r>
      <w:r w:rsidDel="00000000" w:rsidR="00000000" w:rsidRPr="00000000">
        <w:rPr>
          <w:b w:val="1"/>
          <w:vertAlign w:val="baseline"/>
          <w:rtl w:val="0"/>
        </w:rPr>
        <w:t xml:space="preserve"> </w:t>
      </w:r>
      <w:r w:rsidDel="00000000" w:rsidR="00000000" w:rsidRPr="00000000">
        <w:rPr>
          <w:vertAlign w:val="baseline"/>
          <w:rtl w:val="0"/>
        </w:rPr>
        <w:t xml:space="preserve">in volume 571 of </w:t>
      </w:r>
      <w:r w:rsidDel="00000000" w:rsidR="00000000" w:rsidRPr="00000000">
        <w:rPr>
          <w:i w:val="1"/>
          <w:vertAlign w:val="baseline"/>
          <w:rtl w:val="0"/>
        </w:rPr>
        <w:t xml:space="preserve">United States Reports</w:t>
      </w:r>
      <w:r w:rsidDel="00000000" w:rsidR="00000000" w:rsidRPr="00000000">
        <w:rPr>
          <w:rtl w:val="0"/>
        </w:rPr>
      </w:r>
    </w:p>
    <w:p w:rsidR="00000000" w:rsidDel="00000000" w:rsidP="00000000" w:rsidRDefault="00000000" w:rsidRPr="00000000" w14:paraId="0000000B">
      <w:pPr>
        <w:rPr>
          <w:b w:val="0"/>
          <w:vertAlign w:val="baseline"/>
        </w:rPr>
      </w:pPr>
      <w:r w:rsidDel="00000000" w:rsidR="00000000" w:rsidRPr="00000000">
        <w:rPr>
          <w:rtl w:val="0"/>
        </w:rPr>
      </w:r>
    </w:p>
    <w:p w:rsidR="00000000" w:rsidDel="00000000" w:rsidP="00000000" w:rsidRDefault="00000000" w:rsidRPr="00000000" w14:paraId="0000000C">
      <w:pPr>
        <w:rPr>
          <w:vertAlign w:val="baseline"/>
        </w:rPr>
      </w:pPr>
      <w:r w:rsidDel="00000000" w:rsidR="00000000" w:rsidRPr="00000000">
        <w:rPr>
          <w:b w:val="1"/>
          <w:vertAlign w:val="baseline"/>
          <w:rtl w:val="0"/>
        </w:rPr>
        <w:t xml:space="preserve">Facts</w:t>
      </w:r>
      <w:r w:rsidDel="00000000" w:rsidR="00000000" w:rsidRPr="00000000">
        <w:rPr>
          <w:vertAlign w:val="baseline"/>
          <w:rtl w:val="0"/>
        </w:rPr>
        <w:t xml:space="preserve">: This part can be found in the actual court’s transcript. You simply need to briefly summarize the most critical facts. Please do not include any legal precedent(s) in this section of your brief. JUST NARRATE THE FACT! In other words, you are not to argue or take side when writing this section. </w:t>
      </w:r>
      <w:r w:rsidDel="00000000" w:rsidR="00000000" w:rsidRPr="00000000">
        <w:rPr>
          <w:b w:val="1"/>
          <w:vertAlign w:val="baseline"/>
          <w:rtl w:val="0"/>
        </w:rPr>
        <w:t xml:space="preserve">(WORTH 2 POINTS)</w:t>
      </w:r>
      <w:r w:rsidDel="00000000" w:rsidR="00000000" w:rsidRPr="00000000">
        <w:rPr>
          <w:rtl w:val="0"/>
        </w:rPr>
      </w:r>
    </w:p>
    <w:p w:rsidR="00000000" w:rsidDel="00000000" w:rsidP="00000000" w:rsidRDefault="00000000" w:rsidRPr="00000000" w14:paraId="0000000D">
      <w:pPr>
        <w:rPr>
          <w:vertAlign w:val="baseline"/>
        </w:rPr>
      </w:pPr>
      <w:r w:rsidDel="00000000" w:rsidR="00000000" w:rsidRPr="00000000">
        <w:rPr>
          <w:rtl w:val="0"/>
        </w:rPr>
      </w:r>
    </w:p>
    <w:p w:rsidR="00000000" w:rsidDel="00000000" w:rsidP="00000000" w:rsidRDefault="00000000" w:rsidRPr="00000000" w14:paraId="0000000E">
      <w:pPr>
        <w:rPr>
          <w:b w:val="0"/>
          <w:vertAlign w:val="baseline"/>
        </w:rPr>
      </w:pPr>
      <w:r w:rsidDel="00000000" w:rsidR="00000000" w:rsidRPr="00000000">
        <w:rPr>
          <w:b w:val="1"/>
          <w:vertAlign w:val="baseline"/>
          <w:rtl w:val="0"/>
        </w:rPr>
        <w:t xml:space="preserve">Issue(s):  </w:t>
      </w:r>
      <w:r w:rsidDel="00000000" w:rsidR="00000000" w:rsidRPr="00000000">
        <w:rPr>
          <w:vertAlign w:val="baseline"/>
          <w:rtl w:val="0"/>
        </w:rPr>
        <w:t xml:space="preserve">Concisely phrase, in the form of a question, the essential issue before the court. (If more than one issue is involved, you may have two—or even more—questions here.) </w:t>
      </w:r>
      <w:r w:rsidDel="00000000" w:rsidR="00000000" w:rsidRPr="00000000">
        <w:rPr>
          <w:b w:val="1"/>
          <w:vertAlign w:val="baseline"/>
          <w:rtl w:val="0"/>
        </w:rPr>
        <w:t xml:space="preserve">(WORTH 1 POINT)</w:t>
      </w:r>
      <w:r w:rsidDel="00000000" w:rsidR="00000000" w:rsidRPr="00000000">
        <w:rPr>
          <w:rtl w:val="0"/>
        </w:rPr>
      </w:r>
    </w:p>
    <w:p w:rsidR="00000000" w:rsidDel="00000000" w:rsidP="00000000" w:rsidRDefault="00000000" w:rsidRPr="00000000" w14:paraId="0000000F">
      <w:pPr>
        <w:rPr>
          <w:b w:val="0"/>
          <w:vertAlign w:val="baseline"/>
        </w:rPr>
      </w:pPr>
      <w:r w:rsidDel="00000000" w:rsidR="00000000" w:rsidRPr="00000000">
        <w:rPr>
          <w:rtl w:val="0"/>
        </w:rPr>
      </w:r>
    </w:p>
    <w:p w:rsidR="00000000" w:rsidDel="00000000" w:rsidP="00000000" w:rsidRDefault="00000000" w:rsidRPr="00000000" w14:paraId="00000010">
      <w:pPr>
        <w:rPr>
          <w:b w:val="0"/>
          <w:vertAlign w:val="baseline"/>
        </w:rPr>
      </w:pPr>
      <w:r w:rsidDel="00000000" w:rsidR="00000000" w:rsidRPr="00000000">
        <w:rPr>
          <w:b w:val="1"/>
          <w:vertAlign w:val="baseline"/>
          <w:rtl w:val="0"/>
        </w:rPr>
        <w:t xml:space="preserve">EXAMPLE:</w:t>
      </w:r>
      <w:r w:rsidDel="00000000" w:rsidR="00000000" w:rsidRPr="00000000">
        <w:rPr>
          <w:rtl w:val="0"/>
        </w:rPr>
      </w:r>
    </w:p>
    <w:p w:rsidR="00000000" w:rsidDel="00000000" w:rsidP="00000000" w:rsidRDefault="00000000" w:rsidRPr="00000000" w14:paraId="00000011">
      <w:pPr>
        <w:rPr>
          <w:vertAlign w:val="baseline"/>
        </w:rPr>
      </w:pPr>
      <w:r w:rsidDel="00000000" w:rsidR="00000000" w:rsidRPr="00000000">
        <w:rPr>
          <w:rtl w:val="0"/>
        </w:rPr>
      </w:r>
    </w:p>
    <w:p w:rsidR="00000000" w:rsidDel="00000000" w:rsidP="00000000" w:rsidRDefault="00000000" w:rsidRPr="00000000" w14:paraId="00000012">
      <w:pPr>
        <w:rPr>
          <w:vertAlign w:val="baseline"/>
        </w:rPr>
      </w:pPr>
      <w:r w:rsidDel="00000000" w:rsidR="00000000" w:rsidRPr="00000000">
        <w:rPr>
          <w:vertAlign w:val="baseline"/>
          <w:rtl w:val="0"/>
        </w:rPr>
        <w:t xml:space="preserve">(1) Should consent giving by the petitioner’s significant other, Rojas, be deemed invalid because such was given after the petitioner was taking away by law enforcement?</w:t>
      </w:r>
    </w:p>
    <w:p w:rsidR="00000000" w:rsidDel="00000000" w:rsidP="00000000" w:rsidRDefault="00000000" w:rsidRPr="00000000" w14:paraId="00000013">
      <w:pPr>
        <w:rPr>
          <w:vertAlign w:val="baseline"/>
        </w:rPr>
      </w:pPr>
      <w:r w:rsidDel="00000000" w:rsidR="00000000" w:rsidRPr="00000000">
        <w:rPr>
          <w:rtl w:val="0"/>
        </w:rPr>
      </w:r>
    </w:p>
    <w:p w:rsidR="00000000" w:rsidDel="00000000" w:rsidP="00000000" w:rsidRDefault="00000000" w:rsidRPr="00000000" w14:paraId="00000014">
      <w:pPr>
        <w:rPr>
          <w:vertAlign w:val="baseline"/>
        </w:rPr>
      </w:pPr>
      <w:r w:rsidDel="00000000" w:rsidR="00000000" w:rsidRPr="00000000">
        <w:rPr>
          <w:vertAlign w:val="baseline"/>
          <w:rtl w:val="0"/>
        </w:rPr>
        <w:t xml:space="preserve">(2) Does the fact that petitioner objected to the search, at first, before he was taking away by law enforcement, satisfy the narrow exception in </w:t>
      </w:r>
      <w:r w:rsidDel="00000000" w:rsidR="00000000" w:rsidRPr="00000000">
        <w:rPr>
          <w:i w:val="1"/>
          <w:vertAlign w:val="baseline"/>
          <w:rtl w:val="0"/>
        </w:rPr>
        <w:t xml:space="preserve">Georgia v. Randolph</w:t>
      </w:r>
      <w:r w:rsidDel="00000000" w:rsidR="00000000" w:rsidRPr="00000000">
        <w:rPr>
          <w:vertAlign w:val="baseline"/>
          <w:rtl w:val="0"/>
        </w:rPr>
        <w:t xml:space="preserve">, 547 U.S. 103 to set aside Rojas’s consent? </w:t>
      </w:r>
    </w:p>
    <w:p w:rsidR="00000000" w:rsidDel="00000000" w:rsidP="00000000" w:rsidRDefault="00000000" w:rsidRPr="00000000" w14:paraId="00000015">
      <w:pPr>
        <w:rPr>
          <w:vertAlign w:val="baseline"/>
        </w:rPr>
      </w:pPr>
      <w:r w:rsidDel="00000000" w:rsidR="00000000" w:rsidRPr="00000000">
        <w:rPr>
          <w:rtl w:val="0"/>
        </w:rPr>
      </w:r>
    </w:p>
    <w:p w:rsidR="00000000" w:rsidDel="00000000" w:rsidP="00000000" w:rsidRDefault="00000000" w:rsidRPr="00000000" w14:paraId="00000016">
      <w:pPr>
        <w:rPr>
          <w:b w:val="0"/>
          <w:vertAlign w:val="baseline"/>
        </w:rPr>
      </w:pPr>
      <w:r w:rsidDel="00000000" w:rsidR="00000000" w:rsidRPr="00000000">
        <w:rPr>
          <w:b w:val="1"/>
          <w:vertAlign w:val="baseline"/>
          <w:rtl w:val="0"/>
        </w:rPr>
        <w:t xml:space="preserve">HOLDING</w:t>
      </w:r>
      <w:r w:rsidDel="00000000" w:rsidR="00000000" w:rsidRPr="00000000">
        <w:rPr>
          <w:vertAlign w:val="baseline"/>
          <w:rtl w:val="0"/>
        </w:rPr>
        <w:t xml:space="preserve">: Indicate here—with a “yes” or “no,” if possible—the court’s answer to the question (or questions) in the Issue section above</w:t>
      </w:r>
      <w:r w:rsidDel="00000000" w:rsidR="00000000" w:rsidRPr="00000000">
        <w:rPr>
          <w:b w:val="1"/>
          <w:vertAlign w:val="baseline"/>
          <w:rtl w:val="0"/>
        </w:rPr>
        <w:t xml:space="preserve">.  (WORTH 1 POINT)</w:t>
      </w:r>
      <w:r w:rsidDel="00000000" w:rsidR="00000000" w:rsidRPr="00000000">
        <w:rPr>
          <w:rtl w:val="0"/>
        </w:rPr>
      </w:r>
    </w:p>
    <w:p w:rsidR="00000000" w:rsidDel="00000000" w:rsidP="00000000" w:rsidRDefault="00000000" w:rsidRPr="00000000" w14:paraId="00000017">
      <w:pPr>
        <w:rPr>
          <w:vertAlign w:val="baseline"/>
        </w:rPr>
      </w:pPr>
      <w:r w:rsidDel="00000000" w:rsidR="00000000" w:rsidRPr="00000000">
        <w:rPr>
          <w:rtl w:val="0"/>
        </w:rPr>
      </w:r>
    </w:p>
    <w:p w:rsidR="00000000" w:rsidDel="00000000" w:rsidP="00000000" w:rsidRDefault="00000000" w:rsidRPr="00000000" w14:paraId="00000018">
      <w:pPr>
        <w:rPr>
          <w:b w:val="0"/>
          <w:vertAlign w:val="baseline"/>
        </w:rPr>
      </w:pPr>
      <w:r w:rsidDel="00000000" w:rsidR="00000000" w:rsidRPr="00000000">
        <w:rPr>
          <w:b w:val="1"/>
          <w:vertAlign w:val="baseline"/>
          <w:rtl w:val="0"/>
        </w:rPr>
        <w:t xml:space="preserve">EXAMPLE:</w:t>
      </w:r>
      <w:r w:rsidDel="00000000" w:rsidR="00000000" w:rsidRPr="00000000">
        <w:rPr>
          <w:rtl w:val="0"/>
        </w:rPr>
      </w:r>
    </w:p>
    <w:p w:rsidR="00000000" w:rsidDel="00000000" w:rsidP="00000000" w:rsidRDefault="00000000" w:rsidRPr="00000000" w14:paraId="00000019">
      <w:pPr>
        <w:numPr>
          <w:ilvl w:val="0"/>
          <w:numId w:val="1"/>
        </w:numPr>
        <w:ind w:left="720" w:hanging="360"/>
        <w:rPr/>
      </w:pPr>
      <w:r w:rsidDel="00000000" w:rsidR="00000000" w:rsidRPr="00000000">
        <w:rPr>
          <w:vertAlign w:val="baseline"/>
          <w:rtl w:val="0"/>
        </w:rPr>
        <w:t xml:space="preserve">No</w:t>
      </w:r>
    </w:p>
    <w:p w:rsidR="00000000" w:rsidDel="00000000" w:rsidP="00000000" w:rsidRDefault="00000000" w:rsidRPr="00000000" w14:paraId="0000001A">
      <w:pPr>
        <w:numPr>
          <w:ilvl w:val="0"/>
          <w:numId w:val="1"/>
        </w:numPr>
        <w:ind w:left="720" w:hanging="360"/>
        <w:rPr/>
      </w:pPr>
      <w:r w:rsidDel="00000000" w:rsidR="00000000" w:rsidRPr="00000000">
        <w:rPr>
          <w:vertAlign w:val="baseline"/>
          <w:rtl w:val="0"/>
        </w:rPr>
        <w:t xml:space="preserve">No</w:t>
      </w:r>
    </w:p>
    <w:p w:rsidR="00000000" w:rsidDel="00000000" w:rsidP="00000000" w:rsidRDefault="00000000" w:rsidRPr="00000000" w14:paraId="0000001B">
      <w:pPr>
        <w:ind w:left="360" w:firstLine="0"/>
        <w:rPr>
          <w:vertAlign w:val="baseline"/>
        </w:rPr>
      </w:pPr>
      <w:r w:rsidDel="00000000" w:rsidR="00000000" w:rsidRPr="00000000">
        <w:rPr>
          <w:rtl w:val="0"/>
        </w:rPr>
      </w:r>
    </w:p>
    <w:p w:rsidR="00000000" w:rsidDel="00000000" w:rsidP="00000000" w:rsidRDefault="00000000" w:rsidRPr="00000000" w14:paraId="0000001C">
      <w:pPr>
        <w:rPr>
          <w:b w:val="0"/>
          <w:vertAlign w:val="baseline"/>
        </w:rPr>
      </w:pPr>
      <w:r w:rsidDel="00000000" w:rsidR="00000000" w:rsidRPr="00000000">
        <w:rPr>
          <w:b w:val="1"/>
          <w:vertAlign w:val="baseline"/>
          <w:rtl w:val="0"/>
        </w:rPr>
        <w:t xml:space="preserve">Reason</w:t>
      </w:r>
      <w:r w:rsidDel="00000000" w:rsidR="00000000" w:rsidRPr="00000000">
        <w:rPr>
          <w:vertAlign w:val="baseline"/>
          <w:rtl w:val="0"/>
        </w:rPr>
        <w:t xml:space="preserve">. Summarize as briefly as possible the reasons given by the court for its decision (or decisions) and the case or statutory law relied on by the court in arriving at its decision</w:t>
      </w:r>
      <w:r w:rsidDel="00000000" w:rsidR="00000000" w:rsidRPr="00000000">
        <w:rPr>
          <w:b w:val="1"/>
          <w:vertAlign w:val="baseline"/>
          <w:rtl w:val="0"/>
        </w:rPr>
        <w:t xml:space="preserve">. (WORTH 3 POINTS)</w:t>
      </w:r>
      <w:r w:rsidDel="00000000" w:rsidR="00000000" w:rsidRPr="00000000">
        <w:rPr>
          <w:rtl w:val="0"/>
        </w:rPr>
      </w:r>
    </w:p>
    <w:p w:rsidR="00000000" w:rsidDel="00000000" w:rsidP="00000000" w:rsidRDefault="00000000" w:rsidRPr="00000000" w14:paraId="0000001D">
      <w:pPr>
        <w:rPr>
          <w:vertAlign w:val="baseline"/>
        </w:rPr>
      </w:pPr>
      <w:r w:rsidDel="00000000" w:rsidR="00000000" w:rsidRPr="00000000">
        <w:rPr>
          <w:rtl w:val="0"/>
        </w:rPr>
      </w:r>
    </w:p>
    <w:p w:rsidR="00000000" w:rsidDel="00000000" w:rsidP="00000000" w:rsidRDefault="00000000" w:rsidRPr="00000000" w14:paraId="0000001E">
      <w:pPr>
        <w:rPr>
          <w:vertAlign w:val="baseline"/>
        </w:rPr>
      </w:pPr>
      <w:r w:rsidDel="00000000" w:rsidR="00000000" w:rsidRPr="00000000">
        <w:rPr>
          <w:vertAlign w:val="baseline"/>
          <w:rtl w:val="0"/>
        </w:rPr>
        <w:t xml:space="preserve">EXAMPLE:</w:t>
      </w:r>
    </w:p>
    <w:p w:rsidR="00000000" w:rsidDel="00000000" w:rsidP="00000000" w:rsidRDefault="00000000" w:rsidRPr="00000000" w14:paraId="0000001F">
      <w:pPr>
        <w:rPr>
          <w:vertAlign w:val="baseline"/>
        </w:rPr>
      </w:pPr>
      <w:r w:rsidDel="00000000" w:rsidR="00000000" w:rsidRPr="00000000">
        <w:rPr>
          <w:rtl w:val="0"/>
        </w:rPr>
      </w:r>
    </w:p>
    <w:p w:rsidR="00000000" w:rsidDel="00000000" w:rsidP="00000000" w:rsidRDefault="00000000" w:rsidRPr="00000000" w14:paraId="00000020">
      <w:pPr>
        <w:numPr>
          <w:ilvl w:val="0"/>
          <w:numId w:val="2"/>
        </w:numPr>
        <w:ind w:left="750" w:hanging="390"/>
        <w:rPr/>
      </w:pPr>
      <w:r w:rsidDel="00000000" w:rsidR="00000000" w:rsidRPr="00000000">
        <w:rPr>
          <w:vertAlign w:val="baseline"/>
          <w:rtl w:val="0"/>
        </w:rPr>
        <w:t xml:space="preserve">This court is not willing to extend the narrow exception in </w:t>
      </w:r>
      <w:r w:rsidDel="00000000" w:rsidR="00000000" w:rsidRPr="00000000">
        <w:rPr>
          <w:i w:val="1"/>
          <w:vertAlign w:val="baseline"/>
          <w:rtl w:val="0"/>
        </w:rPr>
        <w:t xml:space="preserve">Randolph </w:t>
      </w:r>
      <w:r w:rsidDel="00000000" w:rsidR="00000000" w:rsidRPr="00000000">
        <w:rPr>
          <w:vertAlign w:val="baseline"/>
          <w:rtl w:val="0"/>
        </w:rPr>
        <w:t xml:space="preserve">to satisfy petitioner’s claim. In </w:t>
      </w:r>
      <w:r w:rsidDel="00000000" w:rsidR="00000000" w:rsidRPr="00000000">
        <w:rPr>
          <w:i w:val="1"/>
          <w:vertAlign w:val="baseline"/>
          <w:rtl w:val="0"/>
        </w:rPr>
        <w:t xml:space="preserve">Randolph,</w:t>
      </w:r>
      <w:r w:rsidDel="00000000" w:rsidR="00000000" w:rsidRPr="00000000">
        <w:rPr>
          <w:vertAlign w:val="baseline"/>
          <w:rtl w:val="0"/>
        </w:rPr>
        <w:t xml:space="preserve"> the court ruled that the only way whereby consent to a search given by one of the co-occupants of a residential property will be set aside, is only if law enforcement intentionally and maliciously removed or detained petitioner for the sole purpose of preventing him/her from objecting to such search. Here, in this case, petitioner was removed from the home for a valid cause. In other words, the police officer had probable cause for arresting the petitioner.</w:t>
      </w:r>
    </w:p>
    <w:p w:rsidR="00000000" w:rsidDel="00000000" w:rsidP="00000000" w:rsidRDefault="00000000" w:rsidRPr="00000000" w14:paraId="00000021">
      <w:pPr>
        <w:rPr>
          <w:vertAlign w:val="baseline"/>
        </w:rPr>
      </w:pPr>
      <w:r w:rsidDel="00000000" w:rsidR="00000000" w:rsidRPr="00000000">
        <w:rPr>
          <w:vertAlign w:val="baseline"/>
          <w:rtl w:val="0"/>
        </w:rPr>
        <w:t xml:space="preserve"> </w:t>
      </w:r>
    </w:p>
    <w:p w:rsidR="00000000" w:rsidDel="00000000" w:rsidP="00000000" w:rsidRDefault="00000000" w:rsidRPr="00000000" w14:paraId="00000022">
      <w:pPr>
        <w:numPr>
          <w:ilvl w:val="0"/>
          <w:numId w:val="2"/>
        </w:numPr>
        <w:ind w:left="750" w:hanging="390"/>
        <w:rPr/>
      </w:pPr>
      <w:r w:rsidDel="00000000" w:rsidR="00000000" w:rsidRPr="00000000">
        <w:rPr>
          <w:vertAlign w:val="baseline"/>
          <w:rtl w:val="0"/>
        </w:rPr>
        <w:t xml:space="preserve">The second argument is also inconsistent with </w:t>
      </w:r>
      <w:r w:rsidDel="00000000" w:rsidR="00000000" w:rsidRPr="00000000">
        <w:rPr>
          <w:i w:val="1"/>
          <w:vertAlign w:val="baseline"/>
          <w:rtl w:val="0"/>
        </w:rPr>
        <w:t xml:space="preserve">Randolph</w:t>
      </w:r>
      <w:r w:rsidDel="00000000" w:rsidR="00000000" w:rsidRPr="00000000">
        <w:rPr>
          <w:vertAlign w:val="baseline"/>
          <w:rtl w:val="0"/>
        </w:rPr>
        <w:t xml:space="preserve"> in</w:t>
      </w:r>
      <w:r w:rsidDel="00000000" w:rsidR="00000000" w:rsidRPr="00000000">
        <w:rPr>
          <w:i w:val="1"/>
          <w:vertAlign w:val="baseline"/>
          <w:rtl w:val="0"/>
        </w:rPr>
        <w:t xml:space="preserve"> </w:t>
      </w:r>
      <w:r w:rsidDel="00000000" w:rsidR="00000000" w:rsidRPr="00000000">
        <w:rPr>
          <w:vertAlign w:val="baseline"/>
          <w:rtl w:val="0"/>
        </w:rPr>
        <w:t xml:space="preserve">at least two (2) ways: first, since the petitioner was not physically present when Rojas gave law enforcement permission to search the premises, law enforcement acted lawfully in accepting Rojas’s invitation. In other words, law enforcement acted in good faith, and since the petitioner was not there at the time of the search to object to Rojas’s consent, the search is valid as one of the warrantless exceptions to the rule. Second, the petitioner claimed that his first objection should invalidate Rojas’s consent. This court is not ready to extend the ruling in </w:t>
      </w:r>
      <w:r w:rsidDel="00000000" w:rsidR="00000000" w:rsidRPr="00000000">
        <w:rPr>
          <w:i w:val="1"/>
          <w:vertAlign w:val="baseline"/>
          <w:rtl w:val="0"/>
        </w:rPr>
        <w:t xml:space="preserve">Randolph</w:t>
      </w:r>
      <w:r w:rsidDel="00000000" w:rsidR="00000000" w:rsidRPr="00000000">
        <w:rPr>
          <w:vertAlign w:val="baseline"/>
          <w:rtl w:val="0"/>
        </w:rPr>
        <w:t xml:space="preserve"> to mean what the petitioner contends it does. For one thing, such interpretation would create a variety of practical concerns; chief among them, duration. How long should the court honor the petitioner’s objection: one week, one month, 20 years. For the above-stated reasons, this court has affirmed the decision of the California Court of Appeals.</w:t>
      </w:r>
    </w:p>
    <w:p w:rsidR="00000000" w:rsidDel="00000000" w:rsidP="00000000" w:rsidRDefault="00000000" w:rsidRPr="00000000" w14:paraId="00000023">
      <w:pPr>
        <w:rPr>
          <w:vertAlign w:val="baseline"/>
        </w:rPr>
      </w:pPr>
      <w:r w:rsidDel="00000000" w:rsidR="00000000" w:rsidRPr="00000000">
        <w:rPr>
          <w:rtl w:val="0"/>
        </w:rPr>
      </w:r>
    </w:p>
    <w:p w:rsidR="00000000" w:rsidDel="00000000" w:rsidP="00000000" w:rsidRDefault="00000000" w:rsidRPr="00000000" w14:paraId="00000024">
      <w:pPr>
        <w:rPr>
          <w:b w:val="0"/>
          <w:u w:val="single"/>
          <w:vertAlign w:val="baseline"/>
        </w:rPr>
      </w:pPr>
      <w:r w:rsidDel="00000000" w:rsidR="00000000" w:rsidRPr="00000000">
        <w:rPr>
          <w:rtl w:val="0"/>
        </w:rPr>
      </w:r>
    </w:p>
    <w:p w:rsidR="00000000" w:rsidDel="00000000" w:rsidP="00000000" w:rsidRDefault="00000000" w:rsidRPr="00000000" w14:paraId="00000025">
      <w:pPr>
        <w:rPr>
          <w:vertAlign w:val="baseline"/>
        </w:rPr>
      </w:pPr>
      <w:r w:rsidDel="00000000" w:rsidR="00000000" w:rsidRPr="00000000">
        <w:rPr>
          <w:b w:val="1"/>
          <w:u w:val="single"/>
          <w:vertAlign w:val="baseline"/>
          <w:rtl w:val="0"/>
        </w:rPr>
        <w:t xml:space="preserve">CRITICAL NOTES</w:t>
      </w:r>
      <w:r w:rsidDel="00000000" w:rsidR="00000000" w:rsidRPr="00000000">
        <w:rPr>
          <w:vertAlign w:val="baseline"/>
          <w:rtl w:val="0"/>
        </w:rPr>
        <w:t xml:space="preserve">:</w:t>
      </w:r>
    </w:p>
    <w:p w:rsidR="00000000" w:rsidDel="00000000" w:rsidP="00000000" w:rsidRDefault="00000000" w:rsidRPr="00000000" w14:paraId="00000026">
      <w:pPr>
        <w:numPr>
          <w:ilvl w:val="0"/>
          <w:numId w:val="3"/>
        </w:numPr>
        <w:ind w:left="750" w:hanging="390"/>
        <w:rPr/>
      </w:pPr>
      <w:r w:rsidDel="00000000" w:rsidR="00000000" w:rsidRPr="00000000">
        <w:rPr>
          <w:vertAlign w:val="baseline"/>
          <w:rtl w:val="0"/>
        </w:rPr>
        <w:t xml:space="preserve">When citing case for the first time, you must provide a full citation. See </w:t>
      </w:r>
      <w:r w:rsidDel="00000000" w:rsidR="00000000" w:rsidRPr="00000000">
        <w:rPr>
          <w:i w:val="1"/>
          <w:vertAlign w:val="baseline"/>
          <w:rtl w:val="0"/>
        </w:rPr>
        <w:t xml:space="preserve">Randolph </w:t>
      </w:r>
      <w:r w:rsidDel="00000000" w:rsidR="00000000" w:rsidRPr="00000000">
        <w:rPr>
          <w:vertAlign w:val="baseline"/>
          <w:rtl w:val="0"/>
        </w:rPr>
        <w:t xml:space="preserve">example above.</w:t>
      </w:r>
    </w:p>
    <w:p w:rsidR="00000000" w:rsidDel="00000000" w:rsidP="00000000" w:rsidRDefault="00000000" w:rsidRPr="00000000" w14:paraId="00000027">
      <w:pPr>
        <w:numPr>
          <w:ilvl w:val="0"/>
          <w:numId w:val="3"/>
        </w:numPr>
        <w:ind w:left="750" w:hanging="390"/>
        <w:rPr/>
      </w:pPr>
      <w:r w:rsidDel="00000000" w:rsidR="00000000" w:rsidRPr="00000000">
        <w:rPr>
          <w:vertAlign w:val="baseline"/>
          <w:rtl w:val="0"/>
        </w:rPr>
        <w:t xml:space="preserve">Just use the first name of the petitioner for cases already cited fully.</w:t>
      </w:r>
    </w:p>
    <w:p w:rsidR="00000000" w:rsidDel="00000000" w:rsidP="00000000" w:rsidRDefault="00000000" w:rsidRPr="00000000" w14:paraId="00000028">
      <w:pPr>
        <w:numPr>
          <w:ilvl w:val="0"/>
          <w:numId w:val="3"/>
        </w:numPr>
        <w:ind w:left="750" w:hanging="390"/>
        <w:rPr/>
      </w:pPr>
      <w:r w:rsidDel="00000000" w:rsidR="00000000" w:rsidRPr="00000000">
        <w:rPr>
          <w:vertAlign w:val="baseline"/>
          <w:rtl w:val="0"/>
        </w:rPr>
        <w:t xml:space="preserve">All cases must be italicized.</w:t>
      </w:r>
    </w:p>
    <w:p w:rsidR="00000000" w:rsidDel="00000000" w:rsidP="00000000" w:rsidRDefault="00000000" w:rsidRPr="00000000" w14:paraId="00000029">
      <w:pPr>
        <w:ind w:left="360" w:firstLine="0"/>
        <w:rPr>
          <w:vertAlign w:val="baseline"/>
        </w:rPr>
      </w:pPr>
      <w:r w:rsidDel="00000000" w:rsidR="00000000" w:rsidRPr="00000000">
        <w:rPr>
          <w:rtl w:val="0"/>
        </w:rPr>
      </w:r>
    </w:p>
    <w:sectPr>
      <w:pgSz w:h="15840" w:w="12240"/>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decimal"/>
      <w:lvlText w:val="(%1)"/>
      <w:lvlJc w:val="left"/>
      <w:pPr>
        <w:ind w:left="750" w:hanging="390"/>
      </w:pPr>
      <w:rPr>
        <w:vertAlign w:val="baseline"/>
      </w:rPr>
    </w:lvl>
    <w:lvl w:ilvl="1">
      <w:start w:val="1"/>
      <w:numFmt w:val="decimal"/>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1"/>
      <w:numFmt w:val="decimal"/>
      <w:lvlText w:val="(%1)"/>
      <w:lvlJc w:val="left"/>
      <w:pPr>
        <w:ind w:left="750" w:hanging="39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